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CN-0345 · Labour</w:t>
      </w:r>
    </w:p>
    <w:p>
      <w:pPr>
        <w:pStyle w:val="Title"/>
      </w:pPr>
      <w:r>
        <w:t xml:space="preserve">Minimum Wage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lowest wage the law permits, how it is fixed, and why an employer’s capacity to pay is no answer.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Minimum Wages Act, 1948</w:t>
      </w:r>
    </w:p>
    <w:p>
      <w:pPr>
        <w:pStyle w:val="Bullet"/>
      </w:pPr>
      <w:r>
        <w:t xml:space="preserve">•  Crown Aluminium Works v. Workmen, AIR 1958 SC 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https://fpr.iura.in/concepts/minimum-wage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