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CN-0074 · Constitutional</w:t>
      </w:r>
    </w:p>
    <w:p>
      <w:pPr>
        <w:pStyle w:val="Title"/>
      </w:pPr>
      <w:r>
        <w:t xml:space="preserve">Minority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Which groups count as religious or linguistic minorities, the unit by which that is decided, and what follows for their institutions.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29–30</w:t>
      </w:r>
    </w:p>
    <w:p>
      <w:pPr>
        <w:pStyle w:val="Bullet"/>
      </w:pPr>
      <w:r>
        <w:t xml:space="preserve">•  T.M.A. Pai Foundation v. State of Karnataka, (2002) 8 SCC 481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https://fpr.iura.in/concepts/minority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