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CN-0485 · Criminal</w:t>
      </w:r>
    </w:p>
    <w:p>
      <w:pPr>
        <w:pStyle w:val="Title"/>
      </w:pPr>
      <w:r>
        <w:t xml:space="preserve">Mob Lynching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Murder by a group of five or more on grounds such as race, caste or belief, made a distinct offence in 2023.</w:t>
      </w:r>
    </w:p>
    <w:p>
      <w:pPr>
        <w:pStyle w:val="Guidance"/>
      </w:pPr>
      <w:r>
        <w:t xml:space="preserve">Authorities to start from. These are places to begin, listed by the editors. Read each one in the original and check the citation before you rely on it.</w:t>
      </w:r>
    </w:p>
    <w:p>
      <w:pPr>
        <w:pStyle w:val="Bullet"/>
      </w:pPr>
      <w:r>
        <w:t xml:space="preserve">•  Bharatiya Nyaya Sanhita, 2023, § 103(2)</w:t>
      </w:r>
    </w:p>
    <w:p>
      <w:pPr>
        <w:pStyle w:val="Bullet"/>
      </w:pPr>
      <w:r>
        <w:t xml:space="preserve">•  Tehseen S. Poonawalla v. Union of India, (2018) 9 SCC 501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https://fpr.iura.in/concepts/mob-lynching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