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CN-0260 · Family</w:t>
      </w:r>
    </w:p>
    <w:p>
      <w:pPr>
        <w:pStyle w:val="Title"/>
      </w:pPr>
      <w:r>
        <w:t xml:space="preserve">Muslim Marriage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Marriage in Muslim law as a civil contract, its essentials, and the classification into valid, irregular and void.</w:t>
      </w:r>
    </w:p>
    <w:p>
      <w:pPr>
        <w:pStyle w:val="Guidance"/>
      </w:pPr>
      <w:r>
        <w:t xml:space="preserve">Authorities to start from. These are places to begin, listed by the editors. Read each one in the original and check the citation before you rely on it.</w:t>
      </w:r>
    </w:p>
    <w:p>
      <w:pPr>
        <w:pStyle w:val="Bullet"/>
      </w:pPr>
      <w:r>
        <w:t xml:space="preserve">•  Abdul Kadir v. Salima, ILR (1886) 8 All 149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https://fpr.iura.in/concepts/muslim-marriage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