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CN-0718 · Environment</w:t>
      </w:r>
    </w:p>
    <w:p>
      <w:pPr>
        <w:pStyle w:val="Title"/>
      </w:pPr>
      <w:r>
        <w:t xml:space="preserve">Nationally Determined Contribution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Each State’s own climate pledge under the Paris Agreement, to be renewed and strengthened every five years.</w:t>
      </w:r>
    </w:p>
    <w:p>
      <w:pPr>
        <w:pStyle w:val="Guidance"/>
      </w:pPr>
      <w:r>
        <w:t xml:space="preserve">Authorities to start from. These are places to begin, listed by the editors. Read each one in the original and check the citation before you rely on it.</w:t>
      </w:r>
    </w:p>
    <w:p>
      <w:pPr>
        <w:pStyle w:val="Bullet"/>
      </w:pPr>
      <w:r>
        <w:t xml:space="preserve">•  Paris Agreement, art. 4, Dec. 12, 2015, T.I.A.S. No. 16-1104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https://fpr.iura.in/concepts/nationally-determined-contribution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