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CN-0459 · Constitutional</w:t>
      </w:r>
    </w:p>
    <w:p>
      <w:pPr>
        <w:pStyle w:val="Title"/>
      </w:pPr>
      <w:r>
        <w:t xml:space="preserve">Ninth Schedule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list of laws shielded from challenge under Part III, and the limits placed on that shield for laws added after April 1973.</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31B</w:t>
      </w:r>
    </w:p>
    <w:p>
      <w:pPr>
        <w:pStyle w:val="Bullet"/>
      </w:pPr>
      <w:r>
        <w:t xml:space="preserve">•  Waman Rao v. Union of India, (1981) 2 SCC 362</w:t>
      </w:r>
    </w:p>
    <w:p>
      <w:pPr>
        <w:pStyle w:val="Bullet"/>
      </w:pPr>
      <w:r>
        <w:t xml:space="preserve">•  I.R. Coelho v. State of T.N., (2007) 2 SCC 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https://fpr.iura.in/concepts/ninth-schedule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