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CN-0678 · IP</w:t>
      </w:r>
    </w:p>
    <w:p>
      <w:pPr>
        <w:pStyle w:val="Title"/>
      </w:pPr>
      <w:r>
        <w:t xml:space="preserve">Non-Conventional Marks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Shapes, colours, sounds and other signs as trade marks, and the requirement that a mark be capable of graphic representation.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Trade Marks Act, 1999, § 2(1)(m), (zb)</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https://fpr.iura.in/concepts/non-conventional-marks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