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CN-0537 · Civil Procedure</w:t>
      </w:r>
    </w:p>
    <w:p>
      <w:pPr>
        <w:pStyle w:val="Title"/>
      </w:pPr>
      <w:r>
        <w:t xml:space="preserve">Notice before Suing the Government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two months’ notice that must be given before a suit against the government or a public officer, and when it may be dispensed with.</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80</w:t>
      </w:r>
    </w:p>
    <w:p>
      <w:pPr>
        <w:pStyle w:val="Bullet"/>
      </w:pPr>
      <w:r>
        <w:t xml:space="preserve">•  Bihari Chowdhary v. State of Bihar, (1984) 2 SCC 627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https://fpr.iura.in/concepts/notice-before-suing-the-government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