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CN-0362 · IP</w:t>
      </w:r>
    </w:p>
    <w:p>
      <w:pPr>
        <w:pStyle w:val="Title"/>
      </w:pPr>
      <w:r>
        <w:t xml:space="preserve">Novelty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requirement that an invention be new, and what counts as prior publication or prior use that destroys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 2(1)(l), 13, 64(1)(e)</w:t>
      </w:r>
    </w:p>
    <w:p>
      <w:pPr>
        <w:pStyle w:val="Bullet"/>
      </w:pPr>
      <w:r>
        <w:t xml:space="preserve">•  Bishwanath Prasad Radhey Shyam v. Hindustan Metal Industries, (1979) 2 SCC 511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https://fpr.iura.in/concepts/novelty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