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CN-0419 · Jurisprudence</w:t>
      </w:r>
    </w:p>
    <w:p>
      <w:pPr>
        <w:pStyle w:val="Title"/>
      </w:pPr>
      <w:r>
        <w:t xml:space="preserve">Obiter Dictum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statement in a judgment not necessary to the decision, and the weight it carries when it comes from the Supreme Court.</w:t>
      </w:r>
    </w:p>
    <w:p>
      <w:pPr>
        <w:pStyle w:val="Guidance"/>
      </w:pPr>
      <w:r>
        <w:t xml:space="preserve">Authorities to start from. These are places to begin, listed by the editors. Read each one in the original and check the citation before you rely on it.</w:t>
      </w:r>
    </w:p>
    <w:p>
      <w:pPr>
        <w:pStyle w:val="Bullet"/>
      </w:pPr>
      <w:r>
        <w:t xml:space="preserve">•  Municipal Corporation of Delhi v. Gurnam Kaur, (1989) 1 SCC 101</w:t>
      </w:r>
    </w:p>
    <w:p>
      <w:pPr>
        <w:pStyle w:val="Bullet"/>
      </w:pPr>
      <w:r>
        <w:t xml:space="preserve">•  India Const. art. 141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https://fpr.iura.in/concepts/obiter-dictum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