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CN-0080 · Constitutional</w:t>
      </w:r>
    </w:p>
    <w:p>
      <w:pPr>
        <w:pStyle w:val="Title"/>
      </w:pPr>
      <w:r>
        <w:t xml:space="preserve">Office of Profit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holding an office under the government disqualifies a legislator, and whether it matters that no money was actually taken.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102(1)(a), 191(1)(a)</w:t>
      </w:r>
    </w:p>
    <w:p>
      <w:pPr>
        <w:pStyle w:val="Bullet"/>
      </w:pPr>
      <w:r>
        <w:t xml:space="preserve">•  Jaya Bachchan v. Union of India, (2006) 5 SCC 266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https://fpr.iura.in/concepts/office-of-profit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