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CN-0736 · International (Public)</w:t>
      </w:r>
    </w:p>
    <w:p>
      <w:pPr>
        <w:pStyle w:val="Title"/>
      </w:pPr>
      <w:r>
        <w:t xml:space="preserve">Optional Clause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State’s declaration accepting the World Court’s jurisdiction in advance, and the reservations attached to India’s.</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Statute of the International Court of Justice, art. 36(2)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https://fpr.iura.in/concepts/optional-clause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