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CN-0487 · Criminal</w:t>
      </w:r>
    </w:p>
    <w:p>
      <w:pPr>
        <w:pStyle w:val="Title"/>
      </w:pPr>
      <w:r>
        <w:t xml:space="preserve">Outraging the Modesty of a Woman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Assault or criminal force used on a woman intending to outrage her modesty, and how modesty is understood.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354 (now Bharatiya Nyaya Sanhita, 2023, § 74)</w:t>
      </w:r>
    </w:p>
    <w:p>
      <w:pPr>
        <w:pStyle w:val="Bullet"/>
      </w:pPr>
      <w:r>
        <w:t xml:space="preserve">•  Rupan Deol Bajaj v. Kanwar Pal Singh Gill, (1995) 6 SCC 194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https://fpr.iura.in/concepts/outraging-modesty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