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CN-0087 · Constitutional</w:t>
      </w:r>
    </w:p>
    <w:p>
      <w:pPr>
        <w:pStyle w:val="Title"/>
      </w:pPr>
      <w:r>
        <w:t xml:space="preserve">Pardon and Clemency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President and Governors to pardon, remit and commute, on whose advice it is used, and how far courts review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72, 161</w:t>
      </w:r>
    </w:p>
    <w:p>
      <w:pPr>
        <w:pStyle w:val="Bullet"/>
      </w:pPr>
      <w:r>
        <w:t xml:space="preserve">•  Maru Ram v. Union of India, (1981) 1 SCC 107</w:t>
      </w:r>
    </w:p>
    <w:p>
      <w:pPr>
        <w:pStyle w:val="Bullet"/>
      </w:pPr>
      <w:r>
        <w:t xml:space="preserve">•  Epuru Sudhakar v. Govt. of A.P., (2006) 8 SCC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https://fpr.iura.in/concepts/pardon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