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CN-0592 · Family</w:t>
      </w:r>
    </w:p>
    <w:p>
      <w:pPr>
        <w:pStyle w:val="Title"/>
      </w:pPr>
      <w:r>
        <w:t xml:space="preserve">Parsi Marriage and Divorce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statute governing Parsi marriages, with its special courts and the delegates who assist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Parsi Marriage and Divorce Act, 1936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https://fpr.iura.in/concepts/parsi-marriage-and-divorce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