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CN-0044 · Tax</w:t>
      </w:r>
    </w:p>
    <w:p>
      <w:pPr>
        <w:pStyle w:val="Title"/>
      </w:pPr>
      <w:r>
        <w:t xml:space="preserve">Permanent Establishment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threshold at which a foreign enterprise becomes taxable in India on its business profits: fixed place, agency and service presence.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DIT (International Taxation) v. Morgan Stanley &amp; Co. Inc., (2007) 7 SCC 1</w:t>
      </w:r>
    </w:p>
    <w:p>
      <w:pPr>
        <w:pStyle w:val="Bullet"/>
      </w:pPr>
      <w:r>
        <w:t xml:space="preserve">•  Formula One World Championship Ltd. v. CIT, (2017) 15 SCC 602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https://fpr.iura.in/concepts/permanent-establishment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