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CN-0333 · Tax</w:t>
      </w:r>
    </w:p>
    <w:p>
      <w:pPr>
        <w:pStyle w:val="Title"/>
      </w:pPr>
      <w:r>
        <w:t xml:space="preserve">Place of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rules that fix where a supply is made, and so which State receives the tax and whether it is an export.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Integrated Goods and Services Tax Act, 2017, §§ 10–13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https://fpr.iura.in/concepts/place-of-supply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