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CN-0178 · Civil Procedure</w:t>
      </w:r>
    </w:p>
    <w:p>
      <w:pPr>
        <w:pStyle w:val="Title"/>
      </w:pPr>
      <w:r>
        <w:t xml:space="preserve">Pleadings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a plaint and a written statement must contain, the difference between facts and evidence, and why a court cannot go beyond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VI</w:t>
      </w:r>
    </w:p>
    <w:p>
      <w:pPr>
        <w:pStyle w:val="Bullet"/>
      </w:pPr>
      <w:r>
        <w:t xml:space="preserve">•  Ram Sarup Gupta v. Bishun Narain Inter College, (1987) 2 SCC 555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https://fpr.iura.in/concepts/pleadings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