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CN-0199 · Property</w:t>
      </w:r>
    </w:p>
    <w:p>
      <w:pPr>
        <w:pStyle w:val="Title"/>
      </w:pPr>
      <w:r>
        <w:t xml:space="preserve">Pre-emption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step into a buyer’s shoes on a sale of neighbouring or co-owned land, its sources, and why courts call it a weak 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Bishan Singh v. Khazan Singh, AIR 1958 SC 838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https://fpr.iura.in/concepts/pre-emption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