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CN-0006 · Constitutional</w:t>
      </w:r>
    </w:p>
    <w:p>
      <w:pPr>
        <w:pStyle w:val="Title"/>
      </w:pPr>
      <w:r>
        <w:t xml:space="preserve">Privacy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Privacy as a fundamental right: its sources in Part III, its three aspects (body, information, choice), and the limits the nine-judge bench allowed.</w:t>
      </w:r>
    </w:p>
    <w:p>
      <w:pPr>
        <w:pStyle w:val="Guidance"/>
      </w:pPr>
      <w:r>
        <w:t xml:space="preserve">Authorities to start from. These are places to begin, listed by the editors. Read each one in the original and check the citation before you rely on it.</w:t>
      </w:r>
    </w:p>
    <w:p>
      <w:pPr>
        <w:pStyle w:val="Bullet"/>
      </w:pPr>
      <w:r>
        <w:t xml:space="preserve">•  K.S. Puttaswamy v. Union of India, (2017) 10 SCC 1</w:t>
      </w:r>
    </w:p>
    <w:p>
      <w:pPr>
        <w:pStyle w:val="Bullet"/>
      </w:pPr>
      <w:r>
        <w:t xml:space="preserve">•  Gobind v. State of M.P., (1975) 2 SCC 148</w:t>
      </w:r>
    </w:p>
    <w:p>
      <w:pPr>
        <w:pStyle w:val="Bullet"/>
      </w:pPr>
      <w:r>
        <w:t xml:space="preserve">•  M.P. Sharma v. Satish Chandra, AIR 1954 SC 300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https://fpr.iura.in/concepts/privacy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