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CN-0169 · Evidence</w:t>
      </w:r>
    </w:p>
    <w:p>
      <w:pPr>
        <w:pStyle w:val="Title"/>
      </w:pPr>
      <w:r>
        <w:t xml:space="preserve">Privileged Communications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Communications the law protects from disclosure, between spouses, with lawyers and in affairs of State, and who may waive the protection.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122–129 (now Bharatiya Sakshya Adhiniyam, 2023, §§ 128–134)</w:t>
      </w:r>
    </w:p>
    <w:p>
      <w:pPr>
        <w:pStyle w:val="Bullet"/>
      </w:pPr>
      <w:r>
        <w:t xml:space="preserve">•  M.C. Verghese v. T.J. Ponnan, (1969) 1 SCC 37</w:t>
      </w:r>
    </w:p>
    <w:p>
      <w:pPr>
        <w:pStyle w:val="Bullet"/>
      </w:pPr>
      <w:r>
        <w:t xml:space="preserve">•  State of U.P. v. Raj Narain, (1975) 4 SCC 428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https://fpr.iura.in/concepts/privileged-communications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