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CN-0433 · Legal History</w:t>
      </w:r>
    </w:p>
    <w:p>
      <w:pPr>
        <w:pStyle w:val="Title"/>
      </w:pPr>
      <w:r>
        <w:t xml:space="preserve">Privy Purse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payments promised to the rulers of the princely States on merger, their constitutional guarantee, and their abolition in 1971.</w:t>
      </w:r>
    </w:p>
    <w:p>
      <w:pPr>
        <w:pStyle w:val="Guidance"/>
      </w:pPr>
      <w:r>
        <w:t xml:space="preserve">Authorities to start from. These are places to begin, listed by the editors. Read each one in the original and check the citation before you rely on it.</w:t>
      </w:r>
    </w:p>
    <w:p>
      <w:pPr>
        <w:pStyle w:val="Bullet"/>
      </w:pPr>
      <w:r>
        <w:t xml:space="preserve">•  Madhav Rao Scindia v. Union of India, (1971) 1 SCC 85</w:t>
      </w:r>
    </w:p>
    <w:p>
      <w:pPr>
        <w:pStyle w:val="Bullet"/>
      </w:pPr>
      <w:r>
        <w:t xml:space="preserve">•  Constitution (Twenty-sixth Amendment) Act, 1971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https://fpr.iura.in/concepts/privy-purse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