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CN-0004 · Constitutional</w:t>
      </w:r>
    </w:p>
    <w:p>
      <w:pPr>
        <w:pStyle w:val="Title"/>
      </w:pPr>
      <w:r>
        <w:t xml:space="preserve">Procedure Established by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phrase chosen over "due process" in Article 21, what the framers meant by it, and how it came to require fairness after 1978.</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Gopalan v. State of Madras, AIR 1950 SC 27</w:t>
      </w:r>
    </w:p>
    <w:p>
      <w:pPr>
        <w:pStyle w:val="Bullet"/>
      </w:pPr>
      <w:r>
        <w:t xml:space="preserve">•  Maneka Gandhi v. Union of India, (1978) 1 SCC 248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https://fpr.iura.in/concepts/procedure-established-by-law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