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CN-0153 · Criminal</w:t>
      </w:r>
    </w:p>
    <w:p>
      <w:pPr>
        <w:pStyle w:val="Title"/>
      </w:pPr>
      <w:r>
        <w:t xml:space="preserve">Proceeds of Crime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Property derived from a scheduled offence, how far the definition reaches, and why money laundering depends on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Prevention of Money-laundering Act, 2002, §§ 2(1)(u), 3</w:t>
      </w:r>
    </w:p>
    <w:p>
      <w:pPr>
        <w:pStyle w:val="Bullet"/>
      </w:pPr>
      <w:r>
        <w:t xml:space="preserve">•  Vijay Madanlal Choudhary v. Union of India, 2022 SCC OnLine SC 929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https://fpr.iura.in/concepts/proceeds-of-crime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