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CN-0507 · Criminal</w:t>
      </w:r>
    </w:p>
    <w:p>
      <w:pPr>
        <w:pStyle w:val="Title"/>
      </w:pPr>
      <w:r>
        <w:t xml:space="preserve">Proclaimed Offender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declared to be absconding, the attachment of their property, and the bar this places on anticipatory bail.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82, 83 (now Bharatiya Nagarik Suraksha Sanhita, 2023, §§ 84, 85)</w:t>
      </w:r>
    </w:p>
    <w:p>
      <w:pPr>
        <w:pStyle w:val="Bullet"/>
      </w:pPr>
      <w:r>
        <w:t xml:space="preserve">•  Lavesh v. State (NCT of Delhi), (2012) 8 SCC 730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https://fpr.iura.in/concepts/proclaimed-offender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