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CN-0707 · Media</w:t>
      </w:r>
    </w:p>
    <w:p>
      <w:pPr>
        <w:pStyle w:val="Title"/>
      </w:pPr>
      <w:r>
        <w:t xml:space="preserve">Programme Code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content standards that cable and satellite channels must follow, and the government’s power to prohibit transmission.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Cable Television Networks (Regulation) Act, 1995, §§ 5, 19, 20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https://fpr.iura.in/concepts/programme-code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