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CN-0516 · Criminal</w:t>
      </w:r>
    </w:p>
    <w:p>
      <w:pPr>
        <w:pStyle w:val="Title"/>
      </w:pPr>
      <w:r>
        <w:t xml:space="preserve">Prohibitory 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Urgent orders by a magistrate to prevent danger or disturbance, their short life, and the limits on repeating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144 (now Bharatiya Nagarik Suraksha Sanhita, 2023, § 163)</w:t>
      </w:r>
    </w:p>
    <w:p>
      <w:pPr>
        <w:pStyle w:val="Bullet"/>
      </w:pPr>
      <w:r>
        <w:t xml:space="preserve">•  Madhu Limaye v. Sub-Divisional Magistrate, (1970) 3 SCC 746</w:t>
      </w:r>
    </w:p>
    <w:p>
      <w:pPr>
        <w:pStyle w:val="Bullet"/>
      </w:pPr>
      <w:r>
        <w:t xml:space="preserve">•  Anuradha Bhasin v. Union of India, (2020) 3 SCC 637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https://fpr.iura.in/concepts/prohibitory-orders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