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CN-0160 · Media</w:t>
      </w:r>
    </w:p>
    <w:p>
      <w:pPr>
        <w:pStyle w:val="Title"/>
      </w:pPr>
      <w:r>
        <w:t xml:space="preserve">Promoting Enmity between Groups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 of promoting hatred between groups on grounds such as religion, and the intention the prosecution must prove.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153A (now Bharatiya Nyaya Sanhita, 2023, § 196)</w:t>
      </w:r>
    </w:p>
    <w:p>
      <w:pPr>
        <w:pStyle w:val="Bullet"/>
      </w:pPr>
      <w:r>
        <w:t xml:space="preserve">•  Manzar Sayeed Khan v. State of Maharashtra, (2007) 5 SCC 1</w:t>
      </w:r>
    </w:p>
    <w:p>
      <w:pPr>
        <w:pStyle w:val="Bullet"/>
      </w:pPr>
      <w:r>
        <w:t xml:space="preserve">•  Bilal Ahmed Kaloo v. State of A.P., (1997) 7 SCC 431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https://fpr.iura.in/concepts/promoting-enmity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