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CN-0123 · Criminal</w:t>
      </w:r>
    </w:p>
    <w:p>
      <w:pPr>
        <w:pStyle w:val="Title"/>
      </w:pPr>
      <w:r>
        <w:t xml:space="preserve">Public Servant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Who is a public servant for the purposes of the criminal law and of the corruption statute, including staff of private banks.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21 (now Bharatiya Nyaya Sanhita, 2023, § 2(28))</w:t>
      </w:r>
    </w:p>
    <w:p>
      <w:pPr>
        <w:pStyle w:val="Bullet"/>
      </w:pPr>
      <w:r>
        <w:t xml:space="preserve">•  Prevention of Corruption Act, 1988, § 2(c)</w:t>
      </w:r>
    </w:p>
    <w:p>
      <w:pPr>
        <w:pStyle w:val="Bullet"/>
      </w:pPr>
      <w:r>
        <w:t xml:space="preserve">•  CBI v. Ramesh Gelli, (2016) 3 SCC 788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https://fpr.iura.in/concepts/public-servant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