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CN-0119 · Administrative</w:t>
      </w:r>
    </w:p>
    <w:p>
      <w:pPr>
        <w:pStyle w:val="Title"/>
      </w:pPr>
      <w:r>
        <w:t xml:space="preserve">Quasi-Judicial Function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authority that is not a court must act judicially, and how the line between administrative and quasi-judicial acts faded.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Province of Bombay v. Khushaldas S. Advani, AIR 1950 SC 222</w:t>
      </w:r>
    </w:p>
    <w:p>
      <w:pPr>
        <w:pStyle w:val="Bullet"/>
      </w:pPr>
      <w:r>
        <w:t xml:space="preserve">•  A.K. Kraipak v. Union of India, (1969) 2 SCC 262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https://fpr.iura.in/concepts/quasi-judicial-function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