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CN-0083 · Administrative</w:t>
      </w:r>
    </w:p>
    <w:p>
      <w:pPr>
        <w:pStyle w:val="Title"/>
      </w:pPr>
      <w:r>
        <w:t xml:space="preserve">Quo Warranto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writ that asks by what authority a person holds a public office, and why any citizen may ask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32, 226</w:t>
      </w:r>
    </w:p>
    <w:p>
      <w:pPr>
        <w:pStyle w:val="Bullet"/>
      </w:pPr>
      <w:r>
        <w:t xml:space="preserve">•  University of Mysore v. C.D. Govinda Rao, AIR 1965 SC 491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https://fpr.iura.in/concepts/quo-warranto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