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CN-0143 · Criminal</w:t>
      </w:r>
    </w:p>
    <w:p>
      <w:pPr>
        <w:pStyle w:val="Title"/>
      </w:pPr>
      <w:r>
        <w:t xml:space="preserve">Rash or Negligent Act Causing Death</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Death caused without intention or knowledge, the degree of negligence the criminal law demands, and how it differs from the civil standard.</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304A (now Bharatiya Nyaya Sanhita, 2023, § 106)</w:t>
      </w:r>
    </w:p>
    <w:p>
      <w:pPr>
        <w:pStyle w:val="Bullet"/>
      </w:pPr>
      <w:r>
        <w:t xml:space="preserve">•  Jacob Mathew v. State of Punjab, (2005) 6 SCC 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https://fpr.iura.in/concepts/rash-or-negligent-act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