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CN-0667 · Labour</w:t>
      </w:r>
    </w:p>
    <w:p>
      <w:pPr>
        <w:pStyle w:val="Title"/>
      </w:pPr>
      <w:r>
        <w:t xml:space="preserve">Reference of Industrial Disputes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government’s power to send a dispute for adjudication, and why it may not decide the merits when refusing.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10</w:t>
      </w:r>
    </w:p>
    <w:p>
      <w:pPr>
        <w:pStyle w:val="Bullet"/>
      </w:pPr>
      <w:r>
        <w:t xml:space="preserve">•  Telco Convoy Drivers Mazdoor Sangh v. State of Bihar, (1989) 3 SCC 271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https://fpr.iura.in/concepts/reference-of-industrial-disputes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