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CN-0615 · Corporate</w:t>
      </w:r>
    </w:p>
    <w:p>
      <w:pPr>
        <w:pStyle w:val="Title"/>
      </w:pPr>
      <w:r>
        <w:t xml:space="preserve">Registration of Charges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duty to register a charge on a company’s property, and the consequence in a winding up if it is not.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77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https://fpr.iura.in/concepts/registration-of-charges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