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CN-0019 · Evidence</w:t>
      </w:r>
    </w:p>
    <w:p>
      <w:pPr>
        <w:pStyle w:val="Title"/>
      </w:pPr>
      <w:r>
        <w:t xml:space="preserve">Relevancy and Admissibility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difference between a fact being logically relevant and legally admissible, and the scheme of the Evidence Act that turns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5–16</w:t>
      </w:r>
    </w:p>
    <w:p>
      <w:pPr>
        <w:pStyle w:val="Bullet"/>
      </w:pPr>
      <w:r>
        <w:t xml:space="preserve">•  Ram Bihari Yadav v. State of Bihar, (1998) 4 SCC 517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https://fpr.iura.in/concepts/relevancy-and-admissibility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