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CN-0527 · Evidence</w:t>
      </w:r>
    </w:p>
    <w:p>
      <w:pPr>
        <w:pStyle w:val="Title"/>
      </w:pPr>
      <w:r>
        <w:t xml:space="preserve">Relevancy of Judgments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an earlier judgment may be proved in a later case, and the special force of judgments in probate, matrimonial, admiralty and insolvency matters.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40–44 (now Bharatiya Sakshya Adhiniyam, 2023, §§ 34–38)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https://fpr.iura.in/concepts/relevancy-of-judgments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