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CN-0027 · Competition</w:t>
      </w:r>
    </w:p>
    <w:p>
      <w:pPr>
        <w:pStyle w:val="Title"/>
      </w:pPr>
      <w:r>
        <w:t xml:space="preserve">Relevant Market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How the Competition Commission defines the product and geographic market, and why the definition often decides the case.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2(r)–(t), 19(5)–(7)</w:t>
      </w:r>
    </w:p>
    <w:p>
      <w:pPr>
        <w:pStyle w:val="Bullet"/>
      </w:pPr>
      <w:r>
        <w:t xml:space="preserve">•  CCI v. Coordination Committee of Artistes &amp; Technicians of W.B. Film &amp; Television, (2017) 5 SCC 17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https://fpr.iura.in/concepts/relevant-market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