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CN-0677 · IP</w:t>
      </w:r>
    </w:p>
    <w:p>
      <w:pPr>
        <w:pStyle w:val="Title"/>
      </w:pPr>
      <w:r>
        <w:t xml:space="preserve">Removal for Non-Use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Removal of a registered mark that has not been used for five years, and what counts as genuine use.</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Trade Marks Act, 1999, § 47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https://fpr.iura.in/concepts/removal-for-non-use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