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CN-0447 · Constitutional</w:t>
      </w:r>
    </w:p>
    <w:p>
      <w:pPr>
        <w:pStyle w:val="Title"/>
      </w:pPr>
      <w:r>
        <w:t xml:space="preserve">Removal of Judges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only way a judge of a constitutional court can be removed: an address of both Houses for proved misbehaviour or incapacity.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124(4), 217</w:t>
      </w:r>
    </w:p>
    <w:p>
      <w:pPr>
        <w:pStyle w:val="Bullet"/>
      </w:pPr>
      <w:r>
        <w:t xml:space="preserve">•  Judges (Inquiry) Act, 1968</w:t>
      </w:r>
    </w:p>
    <w:p>
      <w:pPr>
        <w:pStyle w:val="Bullet"/>
      </w:pPr>
      <w:r>
        <w:t xml:space="preserve">•  Sarojini Ramaswami v. Union of India, (1992) 4 SCC 506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https://fpr.iura.in/concepts/removal-of-judges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