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CN-0415 · Human Rights</w:t>
      </w:r>
    </w:p>
    <w:p>
      <w:pPr>
        <w:pStyle w:val="Title"/>
      </w:pPr>
      <w:r>
        <w:t xml:space="preserve">Reproductive Autonomy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woman’s right to decide whether to bear a child, the statutory limits on abortion, and the extension to unmarried women.</w:t>
      </w:r>
    </w:p>
    <w:p>
      <w:pPr>
        <w:pStyle w:val="Guidance"/>
      </w:pPr>
      <w:r>
        <w:t xml:space="preserve">Authorities to start from. These are places to begin, listed by the editors. Read each one in the original and check the citation before you rely on it.</w:t>
      </w:r>
    </w:p>
    <w:p>
      <w:pPr>
        <w:pStyle w:val="Bullet"/>
      </w:pPr>
      <w:r>
        <w:t xml:space="preserve">•  Medical Termination of Pregnancy Act, 1971, § 3</w:t>
      </w:r>
    </w:p>
    <w:p>
      <w:pPr>
        <w:pStyle w:val="Bullet"/>
      </w:pPr>
      <w:r>
        <w:t xml:space="preserve">•  Suchita Srivastava v. Chandigarh Administration, (2009) 9 SCC 1</w:t>
      </w:r>
    </w:p>
    <w:p>
      <w:pPr>
        <w:pStyle w:val="Bullet"/>
      </w:pPr>
      <w:r>
        <w:t xml:space="preserve">•  X v. Principal Secretary, Health &amp; Family Welfare Dept., (2023) 9 SCC 433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https://fpr.iura.in/concepts/reproductive-autonomy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