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CN-0323 · Tax</w:t>
      </w:r>
    </w:p>
    <w:p>
      <w:pPr>
        <w:pStyle w:val="Title"/>
      </w:pPr>
      <w:r>
        <w:t xml:space="preserve">Residential Status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an individual’s residence is decided by days of stay, the category of “not ordinarily resident”, and what each status brings to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https://fpr.iura.in/concepts/residential-status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