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CN-0088 · Constitutional</w:t>
      </w:r>
    </w:p>
    <w:p>
      <w:pPr>
        <w:pStyle w:val="Title"/>
      </w:pPr>
      <w:r>
        <w:t xml:space="preserve">Residuary Power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 of Parliament to legislate on matters found in no list, and how a court decides that a subject falls there.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248</w:t>
      </w:r>
    </w:p>
    <w:p>
      <w:pPr>
        <w:pStyle w:val="Bullet"/>
      </w:pPr>
      <w:r>
        <w:t xml:space="preserve">•  Union of India v. H.S. Dhillon, (1971) 2 SCC 779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https://fpr.iura.in/concepts/residuary-power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