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CN-0408 · International (Public)</w:t>
      </w:r>
    </w:p>
    <w:p>
      <w:pPr>
        <w:pStyle w:val="Title"/>
      </w:pPr>
      <w:r>
        <w:t xml:space="preserve">Responsibility to Protect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idea that sovereignty carries a duty to protect populations from mass atrocity, and what the United Nations agreed in 2005.</w:t>
      </w:r>
    </w:p>
    <w:p>
      <w:pPr>
        <w:pStyle w:val="Guidance"/>
      </w:pPr>
      <w:r>
        <w:t xml:space="preserve">Authorities to start from. These are places to begin, listed by the editors. Read each one in the original and check the citation before you rely on it.</w:t>
      </w:r>
    </w:p>
    <w:p>
      <w:pPr>
        <w:pStyle w:val="Bullet"/>
      </w:pPr>
      <w:r>
        <w:t xml:space="preserve">•  G.A. Res. 60/1, ¶¶ 138–139, 2005 World Summit Outcome (Sept. 16, 2005)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https://fpr.iura.in/concepts/responsibility-to-protect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