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CN-0095 · Civil Procedure</w:t>
      </w:r>
    </w:p>
    <w:p>
      <w:pPr>
        <w:pStyle w:val="Title"/>
      </w:pPr>
      <w:r>
        <w:t xml:space="preserve">Review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court may reopen its own judgment, the narrow grounds for doing so, and how review differs from an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137</w:t>
      </w:r>
    </w:p>
    <w:p>
      <w:pPr>
        <w:pStyle w:val="Bullet"/>
      </w:pPr>
      <w:r>
        <w:t xml:space="preserve">•  Code of Civil Procedure, 1908, § 114 and Order XLVII, Rule 1</w:t>
      </w:r>
    </w:p>
    <w:p>
      <w:pPr>
        <w:pStyle w:val="Bullet"/>
      </w:pPr>
      <w:r>
        <w:t xml:space="preserve">•  Kamlesh Verma v. Mayawati, (2013) 8 SCC 320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https://fpr.iura.in/concepts/review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