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CN-0184 · Civil Procedure</w:t>
      </w:r>
    </w:p>
    <w:p>
      <w:pPr>
        <w:pStyle w:val="Title"/>
      </w:pPr>
      <w:r>
        <w:t xml:space="preserve">Revision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High Court’s power to correct jurisdictional errors of subordinate courts, and how the 1999 amendment narrowed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115</w:t>
      </w:r>
    </w:p>
    <w:p>
      <w:pPr>
        <w:pStyle w:val="Bullet"/>
      </w:pPr>
      <w:r>
        <w:t xml:space="preserve">•  Shiv Shakti Coop. Housing Society v. Swaraj Developers, (2003) 6 SCC 659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https://fpr.iura.in/concepts/revision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