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CN-0386 · Environment</w:t>
      </w:r>
    </w:p>
    <w:p>
      <w:pPr>
        <w:pStyle w:val="Title"/>
      </w:pPr>
      <w:r>
        <w:t xml:space="preserve">Right against the Adverse Effects of Climate Change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Supreme Court’s recognition in 2024 of a distinct right to be free from the adverse effects of climate change.</w:t>
      </w:r>
    </w:p>
    <w:p>
      <w:pPr>
        <w:pStyle w:val="Guidance"/>
      </w:pPr>
      <w:r>
        <w:t xml:space="preserve">Authorities to start from. These are places to begin, listed by the editors. Read each one in the original and check the citation before you rely on it.</w:t>
      </w:r>
    </w:p>
    <w:p>
      <w:pPr>
        <w:pStyle w:val="Bullet"/>
      </w:pPr>
      <w:r>
        <w:t xml:space="preserve">•  M.K. Ranjitsinh v. Union of India, 2024 SCC OnLine SC 570</w:t>
      </w:r>
    </w:p>
    <w:p>
      <w:pPr>
        <w:pStyle w:val="Bullet"/>
      </w:pPr>
      <w:r>
        <w:t xml:space="preserve">•  India Const. arts. 14, 21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https://fpr.iura.in/concepts/right-against-adverse-effects-of-climate-change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