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CN-0103 · Constitutional</w:t>
      </w:r>
    </w:p>
    <w:p>
      <w:pPr>
        <w:pStyle w:val="Title"/>
      </w:pPr>
      <w:r>
        <w:t xml:space="preserve">Right to Assemble and Protest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right to assemble peaceably and without arms, the use of public streets, and how protest is balanced against the rights of others.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19(1)(b)</w:t>
      </w:r>
    </w:p>
    <w:p>
      <w:pPr>
        <w:pStyle w:val="Bullet"/>
      </w:pPr>
      <w:r>
        <w:t xml:space="preserve">•  Himat Lal K. Shah v. Commr. of Police, (1973) 1 SCC 227</w:t>
      </w:r>
    </w:p>
    <w:p>
      <w:pPr>
        <w:pStyle w:val="Bullet"/>
      </w:pPr>
      <w:r>
        <w:t xml:space="preserve">•  Mazdoor Kisan Shakti Sangathan v. Union of India, (2018) 17 SCC 324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https://fpr.iura.in/concepts/right-to-assemble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