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CN-0417 · Human Rights</w:t>
      </w:r>
    </w:p>
    <w:p>
      <w:pPr>
        <w:pStyle w:val="Title"/>
      </w:pPr>
      <w:r>
        <w:t xml:space="preserve">Right to Choose a Partner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right of an adult to marry or live with a person of their choice, and the limits on family and State interference.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Shafin Jahan v. Asokan K.M., (2018) 16 SCC 368</w:t>
      </w:r>
    </w:p>
    <w:p>
      <w:pPr>
        <w:pStyle w:val="Bullet"/>
      </w:pPr>
      <w:r>
        <w:t xml:space="preserve">•  Lata Singh v. State of U.P., (2006) 5 SCC 475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https://fpr.iura.in/concepts/right-to-choose-a-partner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