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CN-0413 · Human Rights</w:t>
      </w:r>
    </w:p>
    <w:p>
      <w:pPr>
        <w:pStyle w:val="Title"/>
      </w:pPr>
      <w:r>
        <w:t xml:space="preserve">Right to Health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State’s duty to provide emergency medical care and to preserve life, read into the right to life.</w:t>
      </w:r>
    </w:p>
    <w:p>
      <w:pPr>
        <w:pStyle w:val="Guidance"/>
      </w:pPr>
      <w:r>
        <w:t xml:space="preserve">Authorities to start from. These are places to begin, listed by the editors. Read each one in the original and check the citation before you rely on it.</w:t>
      </w:r>
    </w:p>
    <w:p>
      <w:pPr>
        <w:pStyle w:val="Bullet"/>
      </w:pPr>
      <w:r>
        <w:t xml:space="preserve">•  Paschim Banga Khet Mazdoor Samity v. State of W.B., (1996) 4 SCC 37</w:t>
      </w:r>
    </w:p>
    <w:p>
      <w:pPr>
        <w:pStyle w:val="Bullet"/>
      </w:pPr>
      <w:r>
        <w:t xml:space="preserve">•  Parmanand Katara v. Union of India, (1989) 4 SCC 286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https://fpr.iura.in/concepts/right-to-health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