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CN-0414 · Human Rights</w:t>
      </w:r>
    </w:p>
    <w:p>
      <w:pPr>
        <w:pStyle w:val="Title"/>
      </w:pPr>
      <w:r>
        <w:t xml:space="preserve">Right to Shelter</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Shelter as part of the right to life, and how far the State is bound to provide housing or to refrain from eviction.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Chameli Singh v. State of U.P., (1996) 2 SCC 549</w:t>
      </w:r>
    </w:p>
    <w:p>
      <w:pPr>
        <w:pStyle w:val="Bullet"/>
      </w:pPr>
      <w:r>
        <w:t xml:space="preserve">•  Olga Tellis v. Bombay Municipal Corpn., (1985) 3 SCC 545</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https://fpr.iura.in/concepts/right-to-shelter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